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43163"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b/>
          <w:sz w:val="24"/>
          <w:szCs w:val="24"/>
          <w:lang w:eastAsia="ja-JP"/>
        </w:rPr>
      </w:pPr>
      <w:r>
        <w:rPr>
          <w:b/>
          <w:sz w:val="24"/>
          <w:szCs w:val="24"/>
          <w:lang w:eastAsia="ja-JP"/>
        </w:rPr>
        <w:t>[District] School District</w:t>
      </w:r>
    </w:p>
    <w:p w14:paraId="36376EB8"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b/>
          <w:sz w:val="24"/>
          <w:szCs w:val="24"/>
          <w:lang w:eastAsia="ja-JP"/>
        </w:rPr>
      </w:pPr>
    </w:p>
    <w:p w14:paraId="079F54D3"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b/>
          <w:sz w:val="24"/>
          <w:szCs w:val="24"/>
          <w:lang w:eastAsia="ja-JP"/>
        </w:rPr>
        <w:t>PERSONNEL</w:t>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t>5010</w:t>
      </w:r>
    </w:p>
    <w:p w14:paraId="0685DD2D"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p>
    <w:p w14:paraId="5882B581"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u w:val="single"/>
          <w:lang w:eastAsia="ja-JP"/>
        </w:rPr>
        <w:t>Equal Employment Opportunity and Non-Discrimination</w:t>
      </w:r>
    </w:p>
    <w:p w14:paraId="2979EB82"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p>
    <w:p w14:paraId="454CA54E" w14:textId="3A160C75" w:rsidR="00891B13" w:rsidRPr="00891B13" w:rsidRDefault="00484D4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b/>
          <w:bCs/>
          <w:sz w:val="24"/>
          <w:szCs w:val="24"/>
          <w:u w:val="single"/>
          <w:lang w:eastAsia="ja-JP"/>
        </w:rPr>
      </w:pPr>
      <w:r w:rsidRPr="00484D43">
        <w:rPr>
          <w:b/>
          <w:bCs/>
          <w:sz w:val="24"/>
          <w:szCs w:val="24"/>
          <w:u w:val="single"/>
          <w:lang w:eastAsia="ja-JP"/>
        </w:rPr>
        <w:t>As required by federal law, including but not limited to the Civil Rights Act of 1964, Title IX, and Section 504 and the Americans with Disabilities Act and their regulations</w:t>
      </w:r>
      <w:r w:rsidRPr="00484D43">
        <w:rPr>
          <w:sz w:val="24"/>
          <w:szCs w:val="24"/>
          <w:lang w:eastAsia="ja-JP"/>
        </w:rPr>
        <w:t xml:space="preserve"> </w:t>
      </w:r>
      <w:r w:rsidR="00891B13" w:rsidRPr="000C5ABA">
        <w:rPr>
          <w:sz w:val="24"/>
          <w:szCs w:val="24"/>
          <w:lang w:eastAsia="ja-JP"/>
        </w:rPr>
        <w:t>The District will provide equal employment opportunities to</w:t>
      </w:r>
      <w:r>
        <w:rPr>
          <w:sz w:val="24"/>
          <w:szCs w:val="24"/>
          <w:lang w:eastAsia="ja-JP"/>
        </w:rPr>
        <w:t xml:space="preserve"> </w:t>
      </w:r>
      <w:r>
        <w:rPr>
          <w:b/>
          <w:bCs/>
          <w:sz w:val="24"/>
          <w:szCs w:val="24"/>
          <w:u w:val="single"/>
          <w:lang w:eastAsia="ja-JP"/>
        </w:rPr>
        <w:t xml:space="preserve">and will not discriminate in its educational programs or activities, including </w:t>
      </w:r>
      <w:r w:rsidR="00917A6B">
        <w:rPr>
          <w:b/>
          <w:bCs/>
          <w:sz w:val="24"/>
          <w:szCs w:val="24"/>
          <w:u w:val="single"/>
          <w:lang w:eastAsia="ja-JP"/>
        </w:rPr>
        <w:t xml:space="preserve">in the area of </w:t>
      </w:r>
      <w:r>
        <w:rPr>
          <w:b/>
          <w:bCs/>
          <w:sz w:val="24"/>
          <w:szCs w:val="24"/>
          <w:u w:val="single"/>
          <w:lang w:eastAsia="ja-JP"/>
        </w:rPr>
        <w:t>employment, with respect to</w:t>
      </w:r>
      <w:r w:rsidR="00891B13" w:rsidRPr="000C5ABA">
        <w:rPr>
          <w:sz w:val="24"/>
          <w:szCs w:val="24"/>
          <w:lang w:eastAsia="ja-JP"/>
        </w:rPr>
        <w:t xml:space="preserve"> all persons, regardless of their race, color, religion, creed, national origin, sex, age, ancestry, marital status, military status, citizenship status, use of lawful products while not at work, physical or mental handicap or disability, if otherwise able to perform essential functions of a job with reasonable accommodations, and other legally protected categories.</w:t>
      </w:r>
      <w:r w:rsidR="00891B13">
        <w:rPr>
          <w:sz w:val="24"/>
          <w:szCs w:val="24"/>
          <w:lang w:eastAsia="ja-JP"/>
        </w:rPr>
        <w:t xml:space="preserve">  </w:t>
      </w:r>
      <w:r w:rsidR="00891B13">
        <w:rPr>
          <w:b/>
          <w:bCs/>
          <w:sz w:val="24"/>
          <w:szCs w:val="24"/>
          <w:u w:val="single"/>
          <w:lang w:eastAsia="ja-JP"/>
        </w:rPr>
        <w:t>For purposes of this policy, “sex” includes sexual orientation and gender identity and expression.</w:t>
      </w:r>
    </w:p>
    <w:p w14:paraId="286E7B54"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p>
    <w:p w14:paraId="317DFEC3"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lang w:eastAsia="ja-JP"/>
        </w:rPr>
        <w:t>The District will make reasonable accommodation for an individual with a disability known to the District, if the individual is otherwise qualified for the position, unless the accommodation would impose undue hardship on the District.</w:t>
      </w:r>
    </w:p>
    <w:p w14:paraId="49A34FFD"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p>
    <w:p w14:paraId="19406BE3" w14:textId="5BCA38F0" w:rsidR="00891B13" w:rsidRPr="000C5ABA" w:rsidRDefault="00891B13" w:rsidP="00891B13">
      <w:pPr>
        <w:pStyle w:val="BodyText"/>
        <w:rPr>
          <w:color w:val="000000"/>
          <w:sz w:val="24"/>
          <w:szCs w:val="24"/>
        </w:rPr>
      </w:pPr>
      <w:r w:rsidRPr="000C5ABA">
        <w:rPr>
          <w:color w:val="000000"/>
          <w:sz w:val="24"/>
          <w:szCs w:val="24"/>
        </w:rPr>
        <w:t xml:space="preserve">Persons who believe they have not received equal employment opportunities or have been retaliated against should report their claims to the building principal. </w:t>
      </w:r>
      <w:r w:rsidR="00EA7221" w:rsidRPr="00EA7221">
        <w:rPr>
          <w:b/>
          <w:bCs/>
          <w:color w:val="000000"/>
          <w:sz w:val="24"/>
          <w:szCs w:val="24"/>
          <w:u w:val="single"/>
        </w:rPr>
        <w:t>Inquiries regarding sex discrimination or sexual harassment may also be directed to the District’s Title IX Coordinator, the Assistant Secretary for the U.S. Department of Education, or both</w:t>
      </w:r>
      <w:r w:rsidR="00EA7221" w:rsidRPr="00EA7221">
        <w:rPr>
          <w:color w:val="000000"/>
          <w:sz w:val="24"/>
          <w:szCs w:val="24"/>
        </w:rPr>
        <w:t xml:space="preserve">.  </w:t>
      </w:r>
      <w:r w:rsidRPr="000C5ABA">
        <w:rPr>
          <w:color w:val="000000"/>
          <w:sz w:val="24"/>
          <w:szCs w:val="24"/>
        </w:rPr>
        <w:t xml:space="preserve">Claims of </w:t>
      </w:r>
      <w:r w:rsidRPr="002746B3">
        <w:rPr>
          <w:b/>
          <w:bCs/>
          <w:color w:val="000000"/>
          <w:sz w:val="24"/>
          <w:szCs w:val="24"/>
          <w:u w:val="single"/>
        </w:rPr>
        <w:t>sex</w:t>
      </w:r>
      <w:r w:rsidR="002746B3">
        <w:rPr>
          <w:b/>
          <w:bCs/>
          <w:color w:val="000000"/>
          <w:sz w:val="24"/>
          <w:szCs w:val="24"/>
          <w:u w:val="single"/>
        </w:rPr>
        <w:t xml:space="preserve">ual harassment </w:t>
      </w:r>
      <w:r w:rsidRPr="002746B3">
        <w:rPr>
          <w:strike/>
          <w:color w:val="000000"/>
          <w:sz w:val="24"/>
          <w:szCs w:val="24"/>
          <w:u w:val="single"/>
        </w:rPr>
        <w:t>or</w:t>
      </w:r>
      <w:r w:rsidRPr="002746B3">
        <w:rPr>
          <w:strike/>
          <w:color w:val="000000"/>
          <w:sz w:val="24"/>
          <w:szCs w:val="24"/>
        </w:rPr>
        <w:t xml:space="preserve"> disability discrimination</w:t>
      </w:r>
      <w:r w:rsidRPr="000C5ABA">
        <w:rPr>
          <w:color w:val="000000"/>
          <w:sz w:val="24"/>
          <w:szCs w:val="24"/>
        </w:rPr>
        <w:t xml:space="preserve"> will be handled through the District’s Title IX </w:t>
      </w:r>
      <w:r w:rsidRPr="002746B3">
        <w:rPr>
          <w:strike/>
          <w:color w:val="000000"/>
          <w:sz w:val="24"/>
          <w:szCs w:val="24"/>
        </w:rPr>
        <w:t>and Section 504 and ADA</w:t>
      </w:r>
      <w:r w:rsidRPr="000C5ABA">
        <w:rPr>
          <w:color w:val="000000"/>
          <w:sz w:val="24"/>
          <w:szCs w:val="24"/>
        </w:rPr>
        <w:t xml:space="preserve"> </w:t>
      </w:r>
      <w:r w:rsidR="00154022">
        <w:rPr>
          <w:b/>
          <w:bCs/>
          <w:color w:val="000000"/>
          <w:sz w:val="24"/>
          <w:szCs w:val="24"/>
          <w:u w:val="single"/>
        </w:rPr>
        <w:t xml:space="preserve">Sexual Harassment </w:t>
      </w:r>
      <w:r w:rsidRPr="000C5ABA">
        <w:rPr>
          <w:color w:val="000000"/>
          <w:sz w:val="24"/>
          <w:szCs w:val="24"/>
        </w:rPr>
        <w:t>Grievance Procedure</w:t>
      </w:r>
      <w:r w:rsidRPr="00B00893">
        <w:rPr>
          <w:strike/>
          <w:color w:val="000000"/>
          <w:sz w:val="24"/>
          <w:szCs w:val="24"/>
        </w:rPr>
        <w:t>s</w:t>
      </w:r>
      <w:r w:rsidRPr="000C5ABA">
        <w:rPr>
          <w:color w:val="000000"/>
          <w:sz w:val="24"/>
          <w:szCs w:val="24"/>
        </w:rPr>
        <w:t xml:space="preserve">. </w:t>
      </w:r>
      <w:r w:rsidR="00154022">
        <w:rPr>
          <w:b/>
          <w:bCs/>
          <w:color w:val="000000"/>
          <w:sz w:val="24"/>
          <w:szCs w:val="24"/>
          <w:u w:val="single"/>
        </w:rPr>
        <w:t xml:space="preserve">Claims of disability discrimination will be handled through the District’s Section 504 and ADA Grievance Procedure.  </w:t>
      </w:r>
      <w:r w:rsidRPr="000C5ABA">
        <w:rPr>
          <w:color w:val="000000"/>
          <w:sz w:val="24"/>
          <w:szCs w:val="24"/>
        </w:rPr>
        <w:t xml:space="preserve">All other claims will be handled through the Uniform Complaint Protocol. No employee or applicant will be discriminated against because he or she initiated a complaint, was a witness, supplied information or otherwise participated in an investigation or proceeding involving an alleged violation of this policy or State or federal laws. The District reserves the right to take action against any individual who knowingly makes false accusations or knowingly provides false information. </w:t>
      </w:r>
    </w:p>
    <w:p w14:paraId="5777A82C"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lang w:eastAsia="ja-JP"/>
        </w:rPr>
        <w:t>Retaliation against an employee who has filed a discrimination complaint, testified or participated in any manner in a discrimination investigation or proceeding is prohibited.</w:t>
      </w:r>
    </w:p>
    <w:p w14:paraId="247B8F7B"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p>
    <w:p w14:paraId="333C1FF3"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440"/>
        <w:rPr>
          <w:sz w:val="24"/>
          <w:szCs w:val="24"/>
          <w:lang w:eastAsia="ja-JP"/>
        </w:rPr>
      </w:pPr>
      <w:r w:rsidRPr="000C5ABA">
        <w:rPr>
          <w:sz w:val="24"/>
          <w:szCs w:val="24"/>
          <w:lang w:eastAsia="ja-JP"/>
        </w:rPr>
        <w:t>Cross Reference:</w:t>
      </w:r>
      <w:r w:rsidRPr="000C5ABA">
        <w:rPr>
          <w:sz w:val="24"/>
          <w:szCs w:val="24"/>
          <w:lang w:eastAsia="ja-JP"/>
        </w:rPr>
        <w:tab/>
        <w:t>1700</w:t>
      </w:r>
      <w:r w:rsidRPr="000C5ABA">
        <w:rPr>
          <w:sz w:val="24"/>
          <w:szCs w:val="24"/>
          <w:lang w:eastAsia="ja-JP"/>
        </w:rPr>
        <w:tab/>
        <w:t>Uniform Complaint Procedure</w:t>
      </w:r>
    </w:p>
    <w:p w14:paraId="0C9D764F" w14:textId="5977E9CE" w:rsidR="00484D43"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440"/>
        <w:rPr>
          <w:b/>
          <w:bCs/>
          <w:sz w:val="24"/>
          <w:szCs w:val="24"/>
          <w:u w:val="single"/>
          <w:lang w:eastAsia="ja-JP"/>
        </w:rPr>
      </w:pPr>
      <w:r w:rsidRPr="000C5ABA">
        <w:rPr>
          <w:sz w:val="24"/>
          <w:szCs w:val="24"/>
          <w:lang w:eastAsia="ja-JP"/>
        </w:rPr>
        <w:tab/>
      </w:r>
      <w:r w:rsidRPr="000C5ABA">
        <w:rPr>
          <w:sz w:val="24"/>
          <w:szCs w:val="24"/>
          <w:lang w:eastAsia="ja-JP"/>
        </w:rPr>
        <w:tab/>
      </w:r>
      <w:r w:rsidRPr="000C5ABA">
        <w:rPr>
          <w:sz w:val="24"/>
          <w:szCs w:val="24"/>
          <w:lang w:eastAsia="ja-JP"/>
        </w:rPr>
        <w:tab/>
        <w:t>Title IX</w:t>
      </w:r>
      <w:r w:rsidR="00484D43">
        <w:rPr>
          <w:sz w:val="24"/>
          <w:szCs w:val="24"/>
          <w:lang w:eastAsia="ja-JP"/>
        </w:rPr>
        <w:t xml:space="preserve"> </w:t>
      </w:r>
      <w:r w:rsidR="00484D43">
        <w:rPr>
          <w:b/>
          <w:bCs/>
          <w:sz w:val="24"/>
          <w:szCs w:val="24"/>
          <w:u w:val="single"/>
          <w:lang w:eastAsia="ja-JP"/>
        </w:rPr>
        <w:t>Sexual Harassment Grievance Procedure</w:t>
      </w:r>
    </w:p>
    <w:p w14:paraId="24A284F2" w14:textId="7C759126" w:rsidR="00891B13" w:rsidRPr="000C5ABA" w:rsidRDefault="00484D4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440"/>
        <w:rPr>
          <w:sz w:val="24"/>
          <w:szCs w:val="24"/>
          <w:lang w:eastAsia="ja-JP"/>
        </w:rPr>
      </w:pPr>
      <w:r w:rsidRPr="00484D43">
        <w:rPr>
          <w:b/>
          <w:bCs/>
          <w:sz w:val="24"/>
          <w:szCs w:val="24"/>
          <w:lang w:eastAsia="ja-JP"/>
        </w:rPr>
        <w:tab/>
      </w:r>
      <w:r w:rsidRPr="00484D43">
        <w:rPr>
          <w:b/>
          <w:bCs/>
          <w:sz w:val="24"/>
          <w:szCs w:val="24"/>
          <w:lang w:eastAsia="ja-JP"/>
        </w:rPr>
        <w:tab/>
      </w:r>
      <w:r w:rsidRPr="00484D43">
        <w:rPr>
          <w:b/>
          <w:bCs/>
          <w:sz w:val="24"/>
          <w:szCs w:val="24"/>
          <w:lang w:eastAsia="ja-JP"/>
        </w:rPr>
        <w:tab/>
      </w:r>
      <w:r w:rsidR="00891B13" w:rsidRPr="000C5ABA">
        <w:rPr>
          <w:sz w:val="24"/>
          <w:szCs w:val="24"/>
          <w:lang w:eastAsia="ja-JP"/>
        </w:rPr>
        <w:t>Section 504 and ADA Grievance Procedure</w:t>
      </w:r>
    </w:p>
    <w:p w14:paraId="09D2FF53"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p>
    <w:p w14:paraId="7E99CA99"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lang w:eastAsia="ja-JP"/>
        </w:rPr>
        <w:t>Legal Reference:</w:t>
      </w:r>
      <w:r w:rsidRPr="000C5ABA">
        <w:rPr>
          <w:sz w:val="24"/>
          <w:szCs w:val="24"/>
          <w:lang w:eastAsia="ja-JP"/>
        </w:rPr>
        <w:tab/>
        <w:t xml:space="preserve">Age Discrimination in Employment Act, 29 U.S.C. §§ 621, </w:t>
      </w:r>
      <w:r w:rsidRPr="000C5ABA">
        <w:rPr>
          <w:i/>
          <w:sz w:val="24"/>
          <w:szCs w:val="24"/>
          <w:lang w:eastAsia="ja-JP"/>
        </w:rPr>
        <w:t>et seq</w:t>
      </w:r>
      <w:r w:rsidRPr="000C5ABA">
        <w:rPr>
          <w:sz w:val="24"/>
          <w:szCs w:val="24"/>
          <w:lang w:eastAsia="ja-JP"/>
        </w:rPr>
        <w:t>.</w:t>
      </w:r>
    </w:p>
    <w:p w14:paraId="6CFE394E"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lang w:eastAsia="ja-JP"/>
        </w:rPr>
        <w:tab/>
      </w:r>
      <w:r w:rsidRPr="000C5ABA">
        <w:rPr>
          <w:sz w:val="24"/>
          <w:szCs w:val="24"/>
          <w:lang w:eastAsia="ja-JP"/>
        </w:rPr>
        <w:tab/>
      </w:r>
      <w:r w:rsidRPr="000C5ABA">
        <w:rPr>
          <w:sz w:val="24"/>
          <w:szCs w:val="24"/>
          <w:lang w:eastAsia="ja-JP"/>
        </w:rPr>
        <w:tab/>
        <w:t xml:space="preserve">Americans with Disabilities Act, Title I, 42 U.S.C. §§ 12111, </w:t>
      </w:r>
      <w:r w:rsidRPr="000C5ABA">
        <w:rPr>
          <w:i/>
          <w:sz w:val="24"/>
          <w:szCs w:val="24"/>
          <w:lang w:eastAsia="ja-JP"/>
        </w:rPr>
        <w:t>et seq</w:t>
      </w:r>
      <w:r w:rsidRPr="000C5ABA">
        <w:rPr>
          <w:sz w:val="24"/>
          <w:szCs w:val="24"/>
          <w:lang w:eastAsia="ja-JP"/>
        </w:rPr>
        <w:t>.</w:t>
      </w:r>
    </w:p>
    <w:p w14:paraId="6FE94A90"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lang w:eastAsia="ja-JP"/>
        </w:rPr>
        <w:tab/>
      </w:r>
      <w:r w:rsidRPr="000C5ABA">
        <w:rPr>
          <w:sz w:val="24"/>
          <w:szCs w:val="24"/>
          <w:lang w:eastAsia="ja-JP"/>
        </w:rPr>
        <w:tab/>
      </w:r>
      <w:r w:rsidRPr="000C5ABA">
        <w:rPr>
          <w:sz w:val="24"/>
          <w:szCs w:val="24"/>
          <w:lang w:eastAsia="ja-JP"/>
        </w:rPr>
        <w:tab/>
        <w:t>Equal Pay Act, 29 U.S.C. § 206(d)</w:t>
      </w:r>
    </w:p>
    <w:p w14:paraId="63DE5F6F"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lang w:eastAsia="ja-JP"/>
        </w:rPr>
        <w:tab/>
      </w:r>
      <w:r w:rsidRPr="000C5ABA">
        <w:rPr>
          <w:sz w:val="24"/>
          <w:szCs w:val="24"/>
          <w:lang w:eastAsia="ja-JP"/>
        </w:rPr>
        <w:tab/>
      </w:r>
      <w:r w:rsidRPr="000C5ABA">
        <w:rPr>
          <w:sz w:val="24"/>
          <w:szCs w:val="24"/>
          <w:lang w:eastAsia="ja-JP"/>
        </w:rPr>
        <w:tab/>
        <w:t xml:space="preserve">Immigration Reform and Control Act, 8 U.S.C. §§ 1324(a), </w:t>
      </w:r>
      <w:r w:rsidRPr="000C5ABA">
        <w:rPr>
          <w:i/>
          <w:sz w:val="24"/>
          <w:szCs w:val="24"/>
          <w:lang w:eastAsia="ja-JP"/>
        </w:rPr>
        <w:t>et seq</w:t>
      </w:r>
      <w:r w:rsidRPr="000C5ABA">
        <w:rPr>
          <w:sz w:val="24"/>
          <w:szCs w:val="24"/>
          <w:lang w:eastAsia="ja-JP"/>
        </w:rPr>
        <w:t>.</w:t>
      </w:r>
    </w:p>
    <w:p w14:paraId="65001F88"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lang w:eastAsia="ja-JP"/>
        </w:rPr>
        <w:tab/>
      </w:r>
      <w:r w:rsidRPr="000C5ABA">
        <w:rPr>
          <w:sz w:val="24"/>
          <w:szCs w:val="24"/>
          <w:lang w:eastAsia="ja-JP"/>
        </w:rPr>
        <w:tab/>
      </w:r>
      <w:r w:rsidRPr="000C5ABA">
        <w:rPr>
          <w:sz w:val="24"/>
          <w:szCs w:val="24"/>
          <w:lang w:eastAsia="ja-JP"/>
        </w:rPr>
        <w:tab/>
        <w:t xml:space="preserve">Rehabilitation Act of 1973, 29 U.S.C. §§ 791, </w:t>
      </w:r>
      <w:r w:rsidRPr="000C5ABA">
        <w:rPr>
          <w:i/>
          <w:sz w:val="24"/>
          <w:szCs w:val="24"/>
          <w:lang w:eastAsia="ja-JP"/>
        </w:rPr>
        <w:t>et seq</w:t>
      </w:r>
    </w:p>
    <w:p w14:paraId="50C6880F" w14:textId="216DA180" w:rsidR="00891B13"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lang w:eastAsia="ja-JP"/>
        </w:rPr>
        <w:tab/>
      </w:r>
      <w:r w:rsidRPr="000C5ABA">
        <w:rPr>
          <w:sz w:val="24"/>
          <w:szCs w:val="24"/>
          <w:lang w:eastAsia="ja-JP"/>
        </w:rPr>
        <w:tab/>
      </w:r>
      <w:r w:rsidRPr="000C5ABA">
        <w:rPr>
          <w:sz w:val="24"/>
          <w:szCs w:val="24"/>
          <w:lang w:eastAsia="ja-JP"/>
        </w:rPr>
        <w:tab/>
        <w:t xml:space="preserve">Title IX of the Education Amendments, 20 U.S.C. §§ 1681, et seq.; </w:t>
      </w:r>
    </w:p>
    <w:p w14:paraId="05D9680C" w14:textId="4095A99D" w:rsidR="000C0D94" w:rsidRPr="000C0D94" w:rsidRDefault="000C0D94" w:rsidP="000C0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rPr>
          <w:b/>
          <w:bCs/>
          <w:sz w:val="24"/>
          <w:szCs w:val="24"/>
          <w:u w:val="single"/>
          <w:lang w:eastAsia="ja-JP"/>
        </w:rPr>
      </w:pPr>
      <w:r w:rsidRPr="000C0D94">
        <w:rPr>
          <w:b/>
          <w:bCs/>
          <w:sz w:val="24"/>
          <w:szCs w:val="24"/>
          <w:u w:val="single"/>
          <w:lang w:eastAsia="ja-JP"/>
        </w:rPr>
        <w:lastRenderedPageBreak/>
        <w:t>Nondiscrimination on the Basis of Sex in Education, 34 C.F.R. Part 106</w:t>
      </w:r>
    </w:p>
    <w:p w14:paraId="6B5E979D"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lang w:eastAsia="ja-JP"/>
        </w:rPr>
        <w:tab/>
      </w:r>
      <w:r w:rsidRPr="000C5ABA">
        <w:rPr>
          <w:sz w:val="24"/>
          <w:szCs w:val="24"/>
          <w:lang w:eastAsia="ja-JP"/>
        </w:rPr>
        <w:tab/>
      </w:r>
      <w:r w:rsidRPr="000C5ABA">
        <w:rPr>
          <w:sz w:val="24"/>
          <w:szCs w:val="24"/>
          <w:lang w:eastAsia="ja-JP"/>
        </w:rPr>
        <w:tab/>
        <w:t>Montana Constitution, Art. X, § 1 - Educational goals and duties</w:t>
      </w:r>
    </w:p>
    <w:p w14:paraId="26EB5F04" w14:textId="3BFD4348" w:rsidR="00891B13"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lang w:eastAsia="ja-JP"/>
        </w:rPr>
        <w:tab/>
      </w:r>
      <w:r w:rsidRPr="000C5ABA">
        <w:rPr>
          <w:sz w:val="24"/>
          <w:szCs w:val="24"/>
          <w:lang w:eastAsia="ja-JP"/>
        </w:rPr>
        <w:tab/>
      </w:r>
      <w:r w:rsidRPr="000C5ABA">
        <w:rPr>
          <w:sz w:val="24"/>
          <w:szCs w:val="24"/>
          <w:lang w:eastAsia="ja-JP"/>
        </w:rPr>
        <w:tab/>
        <w:t xml:space="preserve">§ 49-2-101, </w:t>
      </w:r>
      <w:r w:rsidRPr="000C5ABA">
        <w:rPr>
          <w:i/>
          <w:sz w:val="24"/>
          <w:szCs w:val="24"/>
          <w:lang w:eastAsia="ja-JP"/>
        </w:rPr>
        <w:t>et</w:t>
      </w:r>
      <w:r w:rsidRPr="000C5ABA">
        <w:rPr>
          <w:sz w:val="24"/>
          <w:szCs w:val="24"/>
          <w:lang w:eastAsia="ja-JP"/>
        </w:rPr>
        <w:t xml:space="preserve"> </w:t>
      </w:r>
      <w:r w:rsidRPr="000C5ABA">
        <w:rPr>
          <w:i/>
          <w:sz w:val="24"/>
          <w:szCs w:val="24"/>
          <w:lang w:eastAsia="ja-JP"/>
        </w:rPr>
        <w:t xml:space="preserve">seq., </w:t>
      </w:r>
      <w:r w:rsidRPr="000C5ABA">
        <w:rPr>
          <w:sz w:val="24"/>
          <w:szCs w:val="24"/>
          <w:lang w:eastAsia="ja-JP"/>
        </w:rPr>
        <w:t>MCA</w:t>
      </w:r>
      <w:r w:rsidRPr="000C5ABA">
        <w:rPr>
          <w:sz w:val="24"/>
          <w:szCs w:val="24"/>
          <w:lang w:eastAsia="ja-JP"/>
        </w:rPr>
        <w:tab/>
        <w:t>Human Rights Act</w:t>
      </w:r>
    </w:p>
    <w:p w14:paraId="7E0B039C" w14:textId="2719F783" w:rsidR="00891B13" w:rsidRPr="00891B13"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Pr>
          <w:sz w:val="24"/>
          <w:szCs w:val="24"/>
          <w:lang w:eastAsia="ja-JP"/>
        </w:rPr>
        <w:tab/>
      </w:r>
      <w:r>
        <w:rPr>
          <w:sz w:val="24"/>
          <w:szCs w:val="24"/>
          <w:lang w:eastAsia="ja-JP"/>
        </w:rPr>
        <w:tab/>
      </w:r>
      <w:r>
        <w:rPr>
          <w:sz w:val="24"/>
          <w:szCs w:val="24"/>
          <w:lang w:eastAsia="ja-JP"/>
        </w:rPr>
        <w:tab/>
      </w:r>
      <w:r>
        <w:rPr>
          <w:i/>
          <w:iCs/>
          <w:sz w:val="24"/>
          <w:szCs w:val="24"/>
          <w:lang w:eastAsia="ja-JP"/>
        </w:rPr>
        <w:t>Bostock v. Clayton County</w:t>
      </w:r>
      <w:r>
        <w:rPr>
          <w:sz w:val="24"/>
          <w:szCs w:val="24"/>
          <w:lang w:eastAsia="ja-JP"/>
        </w:rPr>
        <w:t xml:space="preserve">, 140 </w:t>
      </w:r>
      <w:proofErr w:type="spellStart"/>
      <w:r>
        <w:rPr>
          <w:sz w:val="24"/>
          <w:szCs w:val="24"/>
          <w:lang w:eastAsia="ja-JP"/>
        </w:rPr>
        <w:t>S.Ct</w:t>
      </w:r>
      <w:proofErr w:type="spellEnd"/>
      <w:r>
        <w:rPr>
          <w:sz w:val="24"/>
          <w:szCs w:val="24"/>
          <w:lang w:eastAsia="ja-JP"/>
        </w:rPr>
        <w:t>. 1731 (2020)</w:t>
      </w:r>
    </w:p>
    <w:p w14:paraId="2EA8F565"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sz w:val="24"/>
          <w:szCs w:val="24"/>
          <w:lang w:eastAsia="ja-JP"/>
        </w:rPr>
      </w:pPr>
      <w:r w:rsidRPr="000C5ABA">
        <w:rPr>
          <w:sz w:val="24"/>
          <w:szCs w:val="24"/>
          <w:lang w:eastAsia="ja-JP"/>
        </w:rPr>
        <w:tab/>
      </w:r>
      <w:r w:rsidRPr="000C5ABA">
        <w:rPr>
          <w:sz w:val="24"/>
          <w:szCs w:val="24"/>
          <w:lang w:eastAsia="ja-JP"/>
        </w:rPr>
        <w:tab/>
      </w:r>
      <w:r w:rsidRPr="000C5ABA">
        <w:rPr>
          <w:sz w:val="24"/>
          <w:szCs w:val="24"/>
          <w:lang w:eastAsia="ja-JP"/>
        </w:rPr>
        <w:tab/>
      </w:r>
    </w:p>
    <w:p w14:paraId="22DAEE79"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u w:val="single"/>
          <w:lang w:eastAsia="ja-JP"/>
        </w:rPr>
        <w:t>Policy History:</w:t>
      </w:r>
    </w:p>
    <w:p w14:paraId="43FB5613" w14:textId="77777777" w:rsidR="00891B13" w:rsidRPr="000C5ABA" w:rsidRDefault="00891B13" w:rsidP="00891B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rPr>
          <w:sz w:val="24"/>
          <w:szCs w:val="24"/>
          <w:lang w:eastAsia="ja-JP"/>
        </w:rPr>
      </w:pPr>
      <w:r>
        <w:rPr>
          <w:sz w:val="24"/>
          <w:szCs w:val="24"/>
          <w:lang w:eastAsia="ja-JP"/>
        </w:rPr>
        <w:t>Adopted on:</w:t>
      </w:r>
      <w:r w:rsidRPr="000C5ABA">
        <w:rPr>
          <w:sz w:val="24"/>
          <w:szCs w:val="24"/>
          <w:lang w:eastAsia="ja-JP"/>
        </w:rPr>
        <w:t xml:space="preserve">  </w:t>
      </w:r>
    </w:p>
    <w:p w14:paraId="1C21E0A2"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lang w:eastAsia="ja-JP"/>
        </w:rPr>
        <w:t xml:space="preserve">Reviewed on: </w:t>
      </w:r>
      <w:r w:rsidRPr="000C5ABA">
        <w:rPr>
          <w:sz w:val="24"/>
          <w:szCs w:val="24"/>
          <w:lang w:eastAsia="ja-JP"/>
        </w:rPr>
        <w:tab/>
      </w:r>
    </w:p>
    <w:p w14:paraId="5AB37680" w14:textId="77777777" w:rsidR="00891B13" w:rsidRPr="000C5ABA" w:rsidRDefault="00891B13" w:rsidP="00891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r w:rsidRPr="000C5ABA">
        <w:rPr>
          <w:sz w:val="24"/>
          <w:szCs w:val="24"/>
          <w:lang w:eastAsia="ja-JP"/>
        </w:rPr>
        <w:t>Revised on:</w:t>
      </w:r>
      <w:r w:rsidRPr="000C5ABA">
        <w:rPr>
          <w:sz w:val="24"/>
          <w:szCs w:val="24"/>
          <w:lang w:eastAsia="ja-JP"/>
        </w:rPr>
        <w:tab/>
      </w:r>
    </w:p>
    <w:p w14:paraId="31D5E990" w14:textId="77777777" w:rsidR="00891B13" w:rsidRPr="000C5ABA" w:rsidRDefault="00891B13" w:rsidP="00891B13">
      <w:pPr>
        <w:rPr>
          <w:sz w:val="24"/>
          <w:szCs w:val="24"/>
          <w:lang w:eastAsia="ja-JP"/>
        </w:rPr>
      </w:pPr>
      <w:r w:rsidRPr="000C5ABA">
        <w:rPr>
          <w:sz w:val="24"/>
          <w:szCs w:val="24"/>
          <w:lang w:eastAsia="ja-JP"/>
        </w:rPr>
        <w:br w:type="page"/>
      </w:r>
    </w:p>
    <w:p w14:paraId="5290DD2B" w14:textId="77777777" w:rsidR="008F2220" w:rsidRDefault="008F2220"/>
    <w:sectPr w:rsidR="008F2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13"/>
    <w:rsid w:val="000C0D94"/>
    <w:rsid w:val="00154022"/>
    <w:rsid w:val="002746B3"/>
    <w:rsid w:val="00484D43"/>
    <w:rsid w:val="00891B13"/>
    <w:rsid w:val="008F2220"/>
    <w:rsid w:val="00917A6B"/>
    <w:rsid w:val="00B00893"/>
    <w:rsid w:val="00EA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742F"/>
  <w15:chartTrackingRefBased/>
  <w15:docId w15:val="{EC6A502F-64DB-274B-8B3F-CA1060C3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B13"/>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91B13"/>
    <w:pPr>
      <w:spacing w:after="120"/>
    </w:pPr>
  </w:style>
  <w:style w:type="character" w:customStyle="1" w:styleId="BodyTextChar">
    <w:name w:val="Body Text Char"/>
    <w:basedOn w:val="DefaultParagraphFont"/>
    <w:link w:val="BodyText"/>
    <w:uiPriority w:val="99"/>
    <w:rsid w:val="00891B1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00893"/>
    <w:rPr>
      <w:sz w:val="18"/>
      <w:szCs w:val="18"/>
    </w:rPr>
  </w:style>
  <w:style w:type="character" w:customStyle="1" w:styleId="BalloonTextChar">
    <w:name w:val="Balloon Text Char"/>
    <w:basedOn w:val="DefaultParagraphFont"/>
    <w:link w:val="BalloonText"/>
    <w:uiPriority w:val="99"/>
    <w:semiHidden/>
    <w:rsid w:val="00B0089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494</Words>
  <Characters>2810</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Morris</dc:creator>
  <cp:keywords/>
  <dc:description/>
  <cp:lastModifiedBy>Microsoft Office User</cp:lastModifiedBy>
  <cp:revision>3</cp:revision>
  <dcterms:created xsi:type="dcterms:W3CDTF">2020-07-17T21:07:00Z</dcterms:created>
  <dcterms:modified xsi:type="dcterms:W3CDTF">2020-07-30T21:36:00Z</dcterms:modified>
</cp:coreProperties>
</file>